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5F2BF">
      <w:pPr>
        <w:pStyle w:val="21"/>
        <w:jc w:val="center"/>
        <w:rPr>
          <w:rFonts w:hint="default" w:ascii="Arial" w:hAnsi="Arial"/>
          <w:b/>
          <w:bCs w:val="0"/>
          <w:lang w:val="es-MX"/>
        </w:rPr>
      </w:pPr>
      <w:bookmarkStart w:id="0" w:name="_GoBack"/>
      <w:r>
        <w:rPr>
          <w:rFonts w:hint="default" w:ascii="Arial" w:hAnsi="Arial"/>
          <w:b/>
          <w:bCs w:val="0"/>
          <w:lang w:val="es-MX"/>
        </w:rPr>
        <w:t>PRESENTA AYUNTAMIENTO NUEVAS CERTIFICACIONES PARA PERSONAL MUNICIPAL</w:t>
      </w:r>
    </w:p>
    <w:bookmarkEnd w:id="0"/>
    <w:p w14:paraId="3D7C95FF">
      <w:pPr>
        <w:pStyle w:val="21"/>
        <w:jc w:val="both"/>
        <w:rPr>
          <w:rFonts w:hint="default" w:ascii="Arial" w:hAnsi="Arial"/>
          <w:bCs/>
          <w:lang w:val="es-MX"/>
        </w:rPr>
      </w:pPr>
      <w:r>
        <w:rPr>
          <w:rFonts w:hint="default" w:ascii="Arial" w:hAnsi="Arial"/>
          <w:bCs/>
          <w:lang w:val="es-MX"/>
        </w:rPr>
        <w:t xml:space="preserve"> </w:t>
      </w:r>
    </w:p>
    <w:p w14:paraId="2A86EDBE">
      <w:pPr>
        <w:pStyle w:val="21"/>
        <w:numPr>
          <w:ilvl w:val="0"/>
          <w:numId w:val="1"/>
        </w:numPr>
        <w:ind w:left="420" w:leftChars="0" w:hanging="420" w:firstLineChars="0"/>
        <w:jc w:val="both"/>
        <w:rPr>
          <w:rFonts w:hint="default" w:ascii="Arial" w:hAnsi="Arial"/>
          <w:bCs/>
          <w:lang w:val="es-MX"/>
        </w:rPr>
      </w:pPr>
      <w:r>
        <w:rPr>
          <w:rFonts w:hint="default" w:ascii="Arial" w:hAnsi="Arial"/>
          <w:bCs/>
          <w:lang w:val="es-MX"/>
        </w:rPr>
        <w:t>Se busca mejorar la atención de grupos vulnerables en tres rubros</w:t>
      </w:r>
    </w:p>
    <w:p w14:paraId="392A216E">
      <w:pPr>
        <w:pStyle w:val="21"/>
        <w:jc w:val="both"/>
        <w:rPr>
          <w:rFonts w:hint="default" w:ascii="Arial" w:hAnsi="Arial"/>
          <w:bCs/>
          <w:lang w:val="es-MX"/>
        </w:rPr>
      </w:pPr>
      <w:r>
        <w:rPr>
          <w:rFonts w:hint="default" w:ascii="Arial" w:hAnsi="Arial"/>
          <w:bCs/>
          <w:lang w:val="es-MX"/>
        </w:rPr>
        <w:t xml:space="preserve"> </w:t>
      </w:r>
    </w:p>
    <w:p w14:paraId="3CF69C93">
      <w:pPr>
        <w:pStyle w:val="21"/>
        <w:jc w:val="both"/>
        <w:rPr>
          <w:rFonts w:hint="default" w:ascii="Arial" w:hAnsi="Arial"/>
          <w:bCs/>
          <w:lang w:val="es-MX"/>
        </w:rPr>
      </w:pPr>
      <w:r>
        <w:rPr>
          <w:rFonts w:hint="default" w:ascii="Arial" w:hAnsi="Arial"/>
          <w:b/>
          <w:bCs w:val="0"/>
          <w:lang w:val="es-MX"/>
        </w:rPr>
        <w:t>Cancún, Q. R., a 02 de febrero de 2026.-</w:t>
      </w:r>
      <w:r>
        <w:rPr>
          <w:rFonts w:hint="default" w:ascii="Arial" w:hAnsi="Arial"/>
          <w:bCs/>
          <w:lang w:val="es-MX"/>
        </w:rPr>
        <w:t xml:space="preserve"> El Ayuntamiento de Benito Juárez, a través de la dirección general de Capacitación en Calidad, realizó la presentación del proyecto de tres estándares de competencia que podrán acreditar los trabajadores de la Secretaría General, enfocados principalmente en la atención de grupos vulnerables.</w:t>
      </w:r>
    </w:p>
    <w:p w14:paraId="1DE1404A">
      <w:pPr>
        <w:pStyle w:val="21"/>
        <w:jc w:val="both"/>
        <w:rPr>
          <w:rFonts w:hint="default" w:ascii="Arial" w:hAnsi="Arial"/>
          <w:bCs/>
          <w:lang w:val="es-MX"/>
        </w:rPr>
      </w:pPr>
      <w:r>
        <w:rPr>
          <w:rFonts w:hint="default" w:ascii="Arial" w:hAnsi="Arial"/>
          <w:bCs/>
          <w:lang w:val="es-MX"/>
        </w:rPr>
        <w:t xml:space="preserve"> </w:t>
      </w:r>
    </w:p>
    <w:p w14:paraId="0AAFFEB2">
      <w:pPr>
        <w:pStyle w:val="21"/>
        <w:jc w:val="both"/>
        <w:rPr>
          <w:rFonts w:hint="default" w:ascii="Arial" w:hAnsi="Arial"/>
          <w:bCs/>
          <w:lang w:val="es-MX"/>
        </w:rPr>
      </w:pPr>
      <w:r>
        <w:rPr>
          <w:rFonts w:hint="default" w:ascii="Arial" w:hAnsi="Arial"/>
          <w:bCs/>
          <w:lang w:val="es-MX"/>
        </w:rPr>
        <w:t>La directora de dicha dependencia, Romina Cervera Estrella, explicó que se realizará en coordinación con el Centro de Capacitación para el Trabajo Industrial (CECATI) No. 149, quien forma parte de los centros evaluadores de competencias laborales avalados por el Consejo Nacional de Normalización y Certificación de Competencias Laborales (CONOCER).</w:t>
      </w:r>
    </w:p>
    <w:p w14:paraId="0217A53C">
      <w:pPr>
        <w:pStyle w:val="21"/>
        <w:jc w:val="both"/>
        <w:rPr>
          <w:rFonts w:hint="default" w:ascii="Arial" w:hAnsi="Arial"/>
          <w:bCs/>
          <w:lang w:val="es-MX"/>
        </w:rPr>
      </w:pPr>
      <w:r>
        <w:rPr>
          <w:rFonts w:hint="default" w:ascii="Arial" w:hAnsi="Arial"/>
          <w:bCs/>
          <w:lang w:val="es-MX"/>
        </w:rPr>
        <w:t xml:space="preserve"> </w:t>
      </w:r>
    </w:p>
    <w:p w14:paraId="192CCF10">
      <w:pPr>
        <w:pStyle w:val="21"/>
        <w:jc w:val="both"/>
        <w:rPr>
          <w:rFonts w:hint="default" w:ascii="Arial" w:hAnsi="Arial"/>
          <w:bCs/>
          <w:lang w:val="es-MX"/>
        </w:rPr>
      </w:pPr>
      <w:r>
        <w:rPr>
          <w:rFonts w:hint="default" w:ascii="Arial" w:hAnsi="Arial"/>
          <w:bCs/>
          <w:lang w:val="es-MX"/>
        </w:rPr>
        <w:t>Indicó que de esta forma se fortalecerá la atención de los servidores públicos en áreas prioritarias como: seguridad ciudadana; respuesta a mujeres víctimas de violencia; protección de niñas, niños y adolescentes; y profesionalización del servicio público.</w:t>
      </w:r>
    </w:p>
    <w:p w14:paraId="10D76E76">
      <w:pPr>
        <w:pStyle w:val="21"/>
        <w:jc w:val="both"/>
        <w:rPr>
          <w:rFonts w:hint="default" w:ascii="Arial" w:hAnsi="Arial"/>
          <w:bCs/>
          <w:lang w:val="es-MX"/>
        </w:rPr>
      </w:pPr>
      <w:r>
        <w:rPr>
          <w:rFonts w:hint="default" w:ascii="Arial" w:hAnsi="Arial"/>
          <w:bCs/>
          <w:lang w:val="es-MX"/>
        </w:rPr>
        <w:t xml:space="preserve"> </w:t>
      </w:r>
    </w:p>
    <w:p w14:paraId="6B71E2DA">
      <w:pPr>
        <w:pStyle w:val="21"/>
        <w:jc w:val="both"/>
        <w:rPr>
          <w:rFonts w:hint="default" w:ascii="Arial" w:hAnsi="Arial"/>
          <w:bCs/>
          <w:lang w:val="es-MX"/>
        </w:rPr>
      </w:pPr>
      <w:r>
        <w:rPr>
          <w:rFonts w:hint="default" w:ascii="Arial" w:hAnsi="Arial"/>
          <w:bCs/>
          <w:lang w:val="es-MX"/>
        </w:rPr>
        <w:t>A detalle, puntualizó que los estándares son: EC1542, sobre búsqueda de personas desaparecidas/no localizadas; EC0539, para atención presencial de primer contacto a mujeres víctimas de violencia; y EC1400, para detección y orientación ante riesgos de vulneración en niños, niñas y adolescentes.</w:t>
      </w:r>
    </w:p>
    <w:p w14:paraId="4F093D76">
      <w:pPr>
        <w:pStyle w:val="21"/>
        <w:jc w:val="both"/>
        <w:rPr>
          <w:rFonts w:hint="default" w:ascii="Arial" w:hAnsi="Arial"/>
          <w:bCs/>
          <w:lang w:val="es-MX"/>
        </w:rPr>
      </w:pPr>
      <w:r>
        <w:rPr>
          <w:rFonts w:hint="default" w:ascii="Arial" w:hAnsi="Arial"/>
          <w:bCs/>
          <w:lang w:val="es-MX"/>
        </w:rPr>
        <w:t xml:space="preserve"> </w:t>
      </w:r>
    </w:p>
    <w:p w14:paraId="53C8D869">
      <w:pPr>
        <w:pStyle w:val="21"/>
        <w:jc w:val="both"/>
        <w:rPr>
          <w:rFonts w:hint="default" w:ascii="Arial" w:hAnsi="Arial"/>
          <w:bCs/>
          <w:lang w:val="es-MX"/>
        </w:rPr>
      </w:pPr>
      <w:r>
        <w:rPr>
          <w:rFonts w:hint="default" w:ascii="Arial" w:hAnsi="Arial"/>
          <w:bCs/>
          <w:lang w:val="es-MX"/>
        </w:rPr>
        <w:t>De igual forma, puntualizó que la capacitación y la certificación de competencias laborales no son solo un requisito administrativo, sino una herramienta estratégica para optimizar procesos y garantizar que cada acción institucional tenga un impacto positivo y medible en la vida de los cancunenses.</w:t>
      </w:r>
    </w:p>
    <w:p w14:paraId="242D8678">
      <w:pPr>
        <w:pStyle w:val="21"/>
        <w:jc w:val="both"/>
        <w:rPr>
          <w:rFonts w:hint="default" w:ascii="Arial" w:hAnsi="Arial"/>
          <w:bCs/>
          <w:lang w:val="es-MX"/>
        </w:rPr>
      </w:pPr>
      <w:r>
        <w:rPr>
          <w:rFonts w:hint="default" w:ascii="Arial" w:hAnsi="Arial"/>
          <w:bCs/>
          <w:lang w:val="es-MX"/>
        </w:rPr>
        <w:t xml:space="preserve"> </w:t>
      </w:r>
    </w:p>
    <w:p w14:paraId="1C5CB9AE">
      <w:pPr>
        <w:pStyle w:val="21"/>
        <w:jc w:val="center"/>
        <w:rPr>
          <w:rFonts w:hint="default" w:ascii="Arial" w:hAnsi="Arial" w:cs="Arial"/>
          <w:bCs/>
          <w:lang w:val="es-MX"/>
        </w:rPr>
      </w:pPr>
      <w:r>
        <w:rPr>
          <w:rFonts w:hint="default" w:ascii="Arial" w:hAnsi="Arial"/>
          <w:bCs/>
          <w:lang w:val="es-MX"/>
        </w:rPr>
        <w:t>***********</w:t>
      </w:r>
    </w:p>
    <w:sectPr>
      <w:headerReference r:id="rId3" w:type="default"/>
      <w:footerReference r:id="rId4" w:type="default"/>
      <w:pgSz w:w="12240" w:h="15840"/>
      <w:pgMar w:top="1417" w:right="1701" w:bottom="1417" w:left="1701" w:header="209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A54F">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rPr>
        <w:color w:val="000000"/>
        <w:sz w:val="22"/>
        <w:szCs w:val="22"/>
      </w:rPr>
    </w:pPr>
    <w: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A54D">
    <w:pPr>
      <w:jc w:val="center"/>
      <w:rPr>
        <w:color w:val="000000"/>
        <w:sz w:val="22"/>
        <w:szCs w:val="22"/>
      </w:rPr>
    </w:pPr>
    <w: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pPr>
                            <w:rPr>
                              <w:rFonts w:hint="default"/>
                              <w:lang w:val="es-MX"/>
                            </w:rPr>
                          </w:pPr>
                          <w:r>
                            <w:rPr>
                              <w:b/>
                              <w:color w:val="000000"/>
                            </w:rPr>
                            <w:t>Comunicado de prensa: 193</w:t>
                          </w:r>
                          <w:r>
                            <w:rPr>
                              <w:rFonts w:hint="default"/>
                              <w:b/>
                              <w:color w:val="000000"/>
                              <w:lang w:val="es-MX"/>
                            </w:rPr>
                            <w:t>5</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318pt;margin-top:-21.95pt;height:26.95pt;width:186.4pt;z-index:251660288;v-text-anchor:middle;mso-width-relative:page;mso-height-relative:page;" fillcolor="#FFFFFF [3201]" filled="t" stroked="t" coordsize="21600,21600" o:gfxdata="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MyCf&#10;1wAAAAsBAAAPAAAAAAAAAAEAIAAAACIAAABkcnMvZG93bnJldi54bWxQSwECFAAUAAAACACHTuJA&#10;QgjoeVsCAADWBAAADgAAAAAAAAABACAAAAAmAQAAZHJzL2Uyb0RvYy54bWxQSwUGAAAAAAYABgBZ&#10;AQAA8wUAAAAA&#10;">
              <v:fill on="t" focussize="0,0"/>
              <v:stroke weight="1pt" color="#000000 [3200]" miterlimit="8" joinstyle="miter" startarrowwidth="narrow" startarrowlength="short" endarrowwidth="narrow" endarrowlength="short"/>
              <v:imagedata o:title=""/>
              <o:lock v:ext="edit" aspectratio="f"/>
              <v:textbox inset="7.1988188976378pt,3.59842519685039pt,7.1988188976378pt,3.59842519685039pt">
                <w:txbxContent>
                  <w:p w14:paraId="72C6A556">
                    <w:pPr>
                      <w:rPr>
                        <w:rFonts w:hint="default"/>
                        <w:lang w:val="es-MX"/>
                      </w:rPr>
                    </w:pPr>
                    <w:r>
                      <w:rPr>
                        <w:b/>
                        <w:color w:val="000000"/>
                      </w:rPr>
                      <w:t>Comunicado de prensa: 193</w:t>
                    </w:r>
                    <w:r>
                      <w:rPr>
                        <w:rFonts w:hint="default"/>
                        <w:b/>
                        <w:color w:val="000000"/>
                        <w:lang w:val="es-MX"/>
                      </w:rPr>
                      <w:t>5</w:t>
                    </w:r>
                  </w:p>
                </w:txbxContent>
              </v:textbox>
            </v:rect>
          </w:pict>
        </mc:Fallback>
      </mc:AlternateContent>
    </w:r>
  </w:p>
  <w:p w14:paraId="72C6A54E">
    <w:pPr>
      <w:pBdr>
        <w:top w:val="none" w:color="auto" w:sz="0" w:space="0"/>
        <w:left w:val="none" w:color="auto" w:sz="0" w:space="0"/>
        <w:bottom w:val="none" w:color="auto" w:sz="0" w:space="0"/>
        <w:right w:val="none" w:color="auto" w:sz="0" w:space="0"/>
        <w:between w:val="none" w:color="auto" w:sz="0" w:space="0"/>
      </w:pBdr>
      <w:tabs>
        <w:tab w:val="center" w:pos="4419"/>
        <w:tab w:val="right" w:pos="8838"/>
      </w:tabs>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70247"/>
    <w:multiLevelType w:val="singleLevel"/>
    <w:tmpl w:val="C697024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51FA"/>
    <w:rsid w:val="00663836"/>
    <w:rsid w:val="0066609C"/>
    <w:rsid w:val="006714CE"/>
    <w:rsid w:val="0068069F"/>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Calibri"/>
      <w:sz w:val="24"/>
      <w:szCs w:val="24"/>
      <w:lang w:eastAsia="es-MX" w:bidi="ar-SA"/>
    </w:rPr>
  </w:style>
  <w:style w:type="paragraph" w:styleId="2">
    <w:name w:val="heading 1"/>
    <w:basedOn w:val="1"/>
    <w:next w:val="1"/>
    <w:qFormat/>
    <w:uiPriority w:val="9"/>
    <w:pPr>
      <w:keepNext/>
      <w:keepLines/>
      <w:spacing w:before="240"/>
      <w:outlineLvl w:val="0"/>
    </w:pPr>
    <w:rPr>
      <w:color w:val="2F5496"/>
      <w:sz w:val="32"/>
      <w:szCs w:val="32"/>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unhideWhenUsed/>
    <w:uiPriority w:val="99"/>
    <w:rPr>
      <w:color w:val="0563C1"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header"/>
    <w:basedOn w:val="1"/>
    <w:link w:val="19"/>
    <w:unhideWhenUsed/>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15">
    <w:name w:val="footer"/>
    <w:basedOn w:val="1"/>
    <w:link w:val="20"/>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10"/>
    <w:pPr>
      <w:keepNext/>
      <w:keepLines/>
      <w:spacing w:before="480" w:after="120"/>
    </w:pPr>
    <w:rPr>
      <w:b/>
      <w:sz w:val="72"/>
      <w:szCs w:val="72"/>
    </w:rPr>
  </w:style>
  <w:style w:type="table" w:customStyle="1" w:styleId="18">
    <w:name w:val="TableNormal"/>
    <w:uiPriority w:val="0"/>
    <w:tblPr>
      <w:tblCellMar>
        <w:top w:w="100" w:type="dxa"/>
        <w:left w:w="100" w:type="dxa"/>
        <w:bottom w:w="100" w:type="dxa"/>
        <w:right w:w="100" w:type="dxa"/>
      </w:tblCellMar>
    </w:tblPr>
  </w:style>
  <w:style w:type="character" w:customStyle="1" w:styleId="19">
    <w:name w:val="Encabezado Car"/>
    <w:basedOn w:val="8"/>
    <w:link w:val="13"/>
    <w:qFormat/>
    <w:uiPriority w:val="99"/>
  </w:style>
  <w:style w:type="character" w:customStyle="1" w:styleId="20">
    <w:name w:val="Pie de página Car"/>
    <w:basedOn w:val="8"/>
    <w:link w:val="15"/>
    <w:qFormat/>
    <w:uiPriority w:val="99"/>
  </w:style>
  <w:style w:type="paragraph" w:styleId="21">
    <w:name w:val="No Spacing"/>
    <w:qFormat/>
    <w:uiPriority w:val="1"/>
    <w:rPr>
      <w:rFonts w:ascii="Cambria" w:hAnsi="Cambria" w:eastAsia="Calibri" w:cs="Times New Roman"/>
      <w:sz w:val="24"/>
      <w:szCs w:val="24"/>
      <w:lang w:eastAsia="es-MX" w:bidi="ar-SA"/>
    </w:rPr>
  </w:style>
  <w:style w:type="paragraph" w:styleId="22">
    <w:name w:val="List Paragraph"/>
    <w:basedOn w:val="1"/>
    <w:qFormat/>
    <w:uiPriority w:val="34"/>
    <w:pPr>
      <w:ind w:left="720"/>
      <w:contextualSpacing/>
    </w:pPr>
  </w:style>
  <w:style w:type="character" w:customStyle="1" w:styleId="23">
    <w:name w:val="il"/>
    <w:basedOn w:val="8"/>
    <w:qFormat/>
    <w:uiPriority w:val="0"/>
  </w:style>
  <w:style w:type="character" w:customStyle="1" w:styleId="24">
    <w:name w:val="Título 1 Car"/>
    <w:basedOn w:val="8"/>
    <w:qFormat/>
    <w:uiPriority w:val="9"/>
    <w:rPr>
      <w:rFonts w:asciiTheme="majorHAnsi" w:hAnsiTheme="majorHAnsi" w:eastAsiaTheme="majorEastAsia" w:cstheme="majorBidi"/>
      <w:color w:val="2F5597" w:themeColor="accent1" w:themeShade="BF"/>
      <w:kern w:val="0"/>
      <w:sz w:val="32"/>
      <w:szCs w:val="32"/>
      <w:lang/>
    </w:rPr>
  </w:style>
  <w:style w:type="character" w:customStyle="1" w:styleId="25">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241</Words>
  <Characters>1330</Characters>
  <Lines>11</Lines>
  <Paragraphs>3</Paragraphs>
  <TotalTime>6</TotalTime>
  <ScaleCrop>false</ScaleCrop>
  <LinksUpToDate>false</LinksUpToDate>
  <CharactersWithSpaces>1568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2026-02-01T17:38:00Z</dcterms:created>
  <dc:creator>Heyder Manrique</dc:creator>
  <cp:lastModifiedBy>Propietario</cp:lastModifiedBy>
  <dcterms:modified xsi:type="dcterms:W3CDTF">2026-02-02T19:08:56Z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2186A018AF794E7A876E0EFB50B16747_13</vt:lpwstr>
  </property>
</Properties>
</file>